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9610" w14:textId="7C63B300" w:rsidR="00B528B1" w:rsidRPr="00B528B1" w:rsidRDefault="00B528B1" w:rsidP="00B528B1">
      <w:pPr>
        <w:pStyle w:val="Standard"/>
        <w:jc w:val="center"/>
        <w:rPr>
          <w:rFonts w:ascii="Trebuchet MS" w:hAnsi="Trebuchet MS"/>
          <w:color w:val="FF0000"/>
          <w:u w:val="single"/>
        </w:rPr>
      </w:pPr>
      <w:r w:rsidRPr="00B528B1">
        <w:rPr>
          <w:rFonts w:ascii="Trebuchet MS" w:hAnsi="Trebuchet MS"/>
          <w:color w:val="FF0000"/>
          <w:u w:val="single"/>
        </w:rPr>
        <w:t>ANEXA 11</w:t>
      </w:r>
    </w:p>
    <w:p w14:paraId="593EBD55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</w:p>
    <w:p w14:paraId="6146E72D" w14:textId="1E5600E9" w:rsidR="00B528B1" w:rsidRPr="00B528B1" w:rsidRDefault="00B528B1" w:rsidP="00B528B1">
      <w:pPr>
        <w:pStyle w:val="Standard"/>
        <w:rPr>
          <w:rFonts w:ascii="Trebuchet MS" w:hAnsi="Trebuchet MS"/>
          <w:iCs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r w:rsidRPr="00B528B1">
        <w:rPr>
          <w:rFonts w:ascii="Trebuchet MS" w:hAnsi="Trebuchet MS"/>
          <w:iCs/>
          <w:sz w:val="22"/>
          <w:szCs w:val="22"/>
        </w:rPr>
        <w:t xml:space="preserve">la </w:t>
      </w:r>
      <w:proofErr w:type="spellStart"/>
      <w:r w:rsidRPr="00B528B1">
        <w:rPr>
          <w:rFonts w:ascii="Trebuchet MS" w:hAnsi="Trebuchet MS"/>
          <w:iCs/>
          <w:color w:val="008000"/>
          <w:sz w:val="22"/>
          <w:szCs w:val="22"/>
          <w:u w:val="single"/>
        </w:rPr>
        <w:t>normele</w:t>
      </w:r>
      <w:proofErr w:type="spellEnd"/>
      <w:r w:rsidRPr="00B528B1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Cs/>
          <w:sz w:val="22"/>
          <w:szCs w:val="22"/>
        </w:rPr>
        <w:t>metodologice</w:t>
      </w:r>
      <w:proofErr w:type="spellEnd"/>
      <w:r w:rsidRPr="00B528B1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Cs/>
          <w:sz w:val="22"/>
          <w:szCs w:val="22"/>
        </w:rPr>
        <w:t>aprobate</w:t>
      </w:r>
      <w:proofErr w:type="spellEnd"/>
      <w:r w:rsidRPr="00B528B1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Cs/>
          <w:sz w:val="22"/>
          <w:szCs w:val="22"/>
        </w:rPr>
        <w:t>prin</w:t>
      </w:r>
      <w:proofErr w:type="spellEnd"/>
      <w:r w:rsidRPr="00B528B1">
        <w:rPr>
          <w:rFonts w:ascii="Trebuchet MS" w:hAnsi="Trebuchet MS"/>
          <w:iCs/>
          <w:sz w:val="22"/>
          <w:szCs w:val="22"/>
        </w:rPr>
        <w:t xml:space="preserve"> H.G.n</w:t>
      </w:r>
      <w:r w:rsidRPr="00B528B1">
        <w:rPr>
          <w:rFonts w:ascii="Trebuchet MS" w:hAnsi="Trebuchet MS"/>
          <w:iCs/>
          <w:sz w:val="22"/>
          <w:szCs w:val="22"/>
        </w:rPr>
        <w:t xml:space="preserve">r. 962/2001 din 27 </w:t>
      </w:r>
      <w:proofErr w:type="spellStart"/>
      <w:r w:rsidRPr="00B528B1">
        <w:rPr>
          <w:rFonts w:ascii="Trebuchet MS" w:hAnsi="Trebuchet MS"/>
          <w:iCs/>
          <w:sz w:val="22"/>
          <w:szCs w:val="22"/>
        </w:rPr>
        <w:t>septembrie</w:t>
      </w:r>
      <w:proofErr w:type="spellEnd"/>
      <w:r w:rsidRPr="00B528B1">
        <w:rPr>
          <w:rFonts w:ascii="Trebuchet MS" w:hAnsi="Trebuchet MS"/>
          <w:iCs/>
          <w:sz w:val="22"/>
          <w:szCs w:val="22"/>
        </w:rPr>
        <w:t xml:space="preserve"> 2001</w:t>
      </w:r>
    </w:p>
    <w:p w14:paraId="1804BA6F" w14:textId="781F9F48" w:rsidR="00B528B1" w:rsidRPr="00B528B1" w:rsidRDefault="00B528B1" w:rsidP="00B528B1">
      <w:pPr>
        <w:pStyle w:val="Standard"/>
        <w:rPr>
          <w:rFonts w:ascii="Trebuchet MS" w:hAnsi="Trebuchet MS"/>
          <w:iCs/>
          <w:sz w:val="22"/>
          <w:szCs w:val="22"/>
        </w:rPr>
      </w:pPr>
    </w:p>
    <w:p w14:paraId="0870E6E8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6E56F6B2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                     </w:t>
      </w:r>
      <w:r w:rsidRPr="00B528B1">
        <w:rPr>
          <w:rFonts w:ascii="Trebuchet MS" w:hAnsi="Trebuchet MS"/>
          <w:b/>
          <w:i/>
          <w:sz w:val="22"/>
          <w:szCs w:val="22"/>
        </w:rPr>
        <w:t>CRITERII-CADRU</w:t>
      </w:r>
    </w:p>
    <w:p w14:paraId="1942EF25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stabilirea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ordinii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prioritate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soluţionarea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cererilor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repartizarea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locuinţelor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tineri</w:t>
      </w:r>
      <w:proofErr w:type="spellEnd"/>
      <w:r w:rsidRPr="00B528B1">
        <w:rPr>
          <w:rFonts w:ascii="Trebuchet MS" w:hAnsi="Trebuchet MS"/>
          <w:b/>
          <w:i/>
          <w:sz w:val="22"/>
          <w:szCs w:val="22"/>
        </w:rPr>
        <w:t xml:space="preserve">, destinate </w:t>
      </w:r>
      <w:proofErr w:type="spellStart"/>
      <w:r w:rsidRPr="00B528B1">
        <w:rPr>
          <w:rFonts w:ascii="Trebuchet MS" w:hAnsi="Trebuchet MS"/>
          <w:b/>
          <w:i/>
          <w:sz w:val="22"/>
          <w:szCs w:val="22"/>
        </w:rPr>
        <w:t>închirierii</w:t>
      </w:r>
      <w:proofErr w:type="spellEnd"/>
    </w:p>
    <w:p w14:paraId="37DD283F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3A5DCF81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A.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acces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:</w:t>
      </w:r>
    </w:p>
    <w:p w14:paraId="3BEE60CE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1.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Titularul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repartizare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tineri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destinată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închirierii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trebuie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fie major,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vârstă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până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35 de ani la data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depunerii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poată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primi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repartiţie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cel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mult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60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luni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împlinirea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vârste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4304899D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efectuează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numai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individual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nume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propriu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20203084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0DF201B0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gramStart"/>
      <w:r w:rsidRPr="00B528B1">
        <w:rPr>
          <w:rFonts w:ascii="Trebuchet MS" w:hAnsi="Trebuchet MS"/>
          <w:i/>
          <w:sz w:val="22"/>
          <w:szCs w:val="22"/>
        </w:rPr>
        <w:t>NOTĂ</w:t>
      </w:r>
      <w:proofErr w:type="gramEnd"/>
      <w:r w:rsidRPr="00B528B1">
        <w:rPr>
          <w:rFonts w:ascii="Trebuchet MS" w:hAnsi="Trebuchet MS"/>
          <w:i/>
          <w:sz w:val="22"/>
          <w:szCs w:val="22"/>
        </w:rPr>
        <w:t>*):</w:t>
      </w:r>
    </w:p>
    <w:p w14:paraId="1837663A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Prin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excepţie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construcţiilor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destinate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închirierii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mod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exclusiv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specialiştilor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învăţământ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sănătate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conform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prevederilor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r w:rsidRPr="00B528B1">
        <w:rPr>
          <w:rFonts w:ascii="Trebuchet MS" w:hAnsi="Trebuchet MS"/>
          <w:i/>
          <w:color w:val="008000"/>
          <w:sz w:val="22"/>
          <w:szCs w:val="22"/>
          <w:u w:val="single"/>
        </w:rPr>
        <w:t>art. 3</w:t>
      </w:r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alin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(2) din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Normele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metodologice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pot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depune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repartizarea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tineri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destinate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închirierii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după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împlinirea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vârstei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35 de ani.</w:t>
      </w:r>
    </w:p>
    <w:p w14:paraId="205975C5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2.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Titularul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ceilalţi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membri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ai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familiei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acestuia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-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soţ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soţie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copii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alte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persoane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aflate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întreţinerea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acestuia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-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trebuie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nu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deţină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nu fi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deţinut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o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altă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proprietate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nu fie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beneficiarul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alte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chirie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proprietate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stat,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proprietate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unităţii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administrativ-teritoriale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unităţii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desfăşoară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activitatea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localitatea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sectoarele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municipiului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Bucureşti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această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restricţie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referă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au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fost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sunt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deţinute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municipiu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indiferent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sector al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acestuia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realizate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pe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terenuri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aflate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proprietatea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judeţului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această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restricţie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referă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au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fost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sunt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deţinute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judeţ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indiferent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comună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oraş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municipiu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raza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administrativ-teritorială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judeţului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sunt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amplasate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Cuprinderea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teritorială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care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referă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această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stabili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către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consiliile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locale/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consiliile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judeţene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avizul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Ministerului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Dezvoltării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Lucrărilor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Publice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Administraţiei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sensul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corelare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precizate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acces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la pct. 3.</w:t>
      </w:r>
    </w:p>
    <w:p w14:paraId="2307D0F9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doveditoare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: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declaraţii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autentificate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ale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titularului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după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ale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soţiei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soţului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ale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celorlalţi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membri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majori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familia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acestuia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7DE8A217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>------------</w:t>
      </w:r>
    </w:p>
    <w:p w14:paraId="609F510D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*) Nota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prelua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cadrul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doar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destinate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închirierii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mod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exclusiv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specialiştilor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învăţământ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sănătate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5AF553EF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10A1ED77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gramStart"/>
      <w:r w:rsidRPr="00B528B1">
        <w:rPr>
          <w:rFonts w:ascii="Trebuchet MS" w:hAnsi="Trebuchet MS"/>
          <w:i/>
          <w:sz w:val="22"/>
          <w:szCs w:val="22"/>
        </w:rPr>
        <w:t>NOTĂ</w:t>
      </w:r>
      <w:proofErr w:type="gramEnd"/>
      <w:r w:rsidRPr="00B528B1">
        <w:rPr>
          <w:rFonts w:ascii="Trebuchet MS" w:hAnsi="Trebuchet MS"/>
          <w:i/>
          <w:sz w:val="22"/>
          <w:szCs w:val="22"/>
        </w:rPr>
        <w:t>:</w:t>
      </w:r>
    </w:p>
    <w:p w14:paraId="2F1FA873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Restricţia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referitoare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nedeţinerea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proprietate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nu 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vedere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înstrăinate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urma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acţiuni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partaj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trecute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proprietatea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statului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mod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abuziv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nu au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fost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retrocedate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natură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Restricţia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nu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aplică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deţinerii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chirie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spaţiu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locativ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cămine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familişti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nefamilişti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nici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chiriaşilor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preluate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abuziv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stat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fac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obiectul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solicitări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retrocedare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sunt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retrocedate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către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foştii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proprietari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Prin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cămine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familişti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nefamilişti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înţelege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clădirile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dotate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camere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individuale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dependinţele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dotările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utilităţile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comune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asemenea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restricţia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nu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aplică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situaţia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titularul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ceilalţi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membri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ai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familiei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acestuia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-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soţ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soţie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copii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lastRenderedPageBreak/>
        <w:t>alte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persoane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aflate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întreţinerea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acestuia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-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deţin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alături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alte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persoane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, cote-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părţi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dintr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-o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dobândite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condiţiile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legii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6C8E22C9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3.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Titularul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trebuie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desfăşoare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activitatea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**)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localitatea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sunt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amplasate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Cuprinderea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teritorială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care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referă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această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stabili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consiliile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locale/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consiliile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judeţene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avizul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Ministerului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Dezvoltării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Lucrărilor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Publice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Administraţiei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avea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vedere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posibilitatea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extinderii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cuprinderi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teritoriale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afara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localităţii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s-a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cazuri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motivate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existenţa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platforme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industriale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lucru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ale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unităţi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economice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localitate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aşezăminte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ocrotire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socială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aeroporturi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nave maritime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fluviale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unităţi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turistice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cultural-sportive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agrement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alte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asemenea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cazuri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desfăşoară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activitatea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23D95F26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>------------</w:t>
      </w:r>
    </w:p>
    <w:p w14:paraId="6523FE75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**)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situaţiile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titularii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desfăşoară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activitatea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domiciliu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regim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telemuncă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face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dovada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adresei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care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desfăşoară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activitatea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respectarea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prevederilor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r w:rsidRPr="00B528B1">
        <w:rPr>
          <w:rFonts w:ascii="Trebuchet MS" w:hAnsi="Trebuchet MS"/>
          <w:i/>
          <w:color w:val="008000"/>
          <w:sz w:val="22"/>
          <w:szCs w:val="22"/>
          <w:u w:val="single"/>
        </w:rPr>
        <w:t>art. 108</w:t>
      </w:r>
      <w:r w:rsidRPr="00B528B1">
        <w:rPr>
          <w:rFonts w:ascii="Trebuchet MS" w:hAnsi="Trebuchet MS"/>
          <w:i/>
          <w:sz w:val="22"/>
          <w:szCs w:val="22"/>
        </w:rPr>
        <w:t xml:space="preserve"> - 110 din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Legea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nr. 53/2003 -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Codul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muncii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republicată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modificările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completările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ulterioare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după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respectarea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prevederilor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color w:val="008000"/>
          <w:sz w:val="22"/>
          <w:szCs w:val="22"/>
          <w:u w:val="single"/>
        </w:rPr>
        <w:t>Legii</w:t>
      </w:r>
      <w:proofErr w:type="spellEnd"/>
      <w:r w:rsidRPr="00B528B1">
        <w:rPr>
          <w:rFonts w:ascii="Trebuchet MS" w:hAnsi="Trebuchet MS"/>
          <w:i/>
          <w:color w:val="008000"/>
          <w:sz w:val="22"/>
          <w:szCs w:val="22"/>
          <w:u w:val="single"/>
        </w:rPr>
        <w:t xml:space="preserve"> nr. 81/2018</w:t>
      </w:r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privind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reglementarea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activităţii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telemuncă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modificările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completările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ulterioare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30E5BD8D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78A5850A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gramStart"/>
      <w:r w:rsidRPr="00B528B1">
        <w:rPr>
          <w:rFonts w:ascii="Trebuchet MS" w:hAnsi="Trebuchet MS"/>
          <w:i/>
          <w:sz w:val="22"/>
          <w:szCs w:val="22"/>
        </w:rPr>
        <w:t>NOTĂ</w:t>
      </w:r>
      <w:proofErr w:type="gramEnd"/>
      <w:r w:rsidRPr="00B528B1">
        <w:rPr>
          <w:rFonts w:ascii="Trebuchet MS" w:hAnsi="Trebuchet MS"/>
          <w:i/>
          <w:sz w:val="22"/>
          <w:szCs w:val="22"/>
        </w:rPr>
        <w:t>:</w:t>
      </w:r>
    </w:p>
    <w:p w14:paraId="00EDC108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Prin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excepţie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când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extinde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cuprinderea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teritorială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desfăşoară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activitatea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afara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localităţii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sunt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amplasate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trebuie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facă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dovada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domiciliul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stabil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cel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puţin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un an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această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localitate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iar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realizate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pe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terenuri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aflate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proprietatea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judeţului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trebuie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facă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dovada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domiciliul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stabil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cel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puţin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un an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judeţul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respectiv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3C12EEB4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4.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Repartizarea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face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limita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fondului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disponibil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luându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-se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considerare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atât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libere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fondul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existent,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cât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urmează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 fi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finalizate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cadrul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obiective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investiţii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aprobate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cuprinse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programul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construcţii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tineri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destinate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închirierii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3D5C3BF8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16757077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NOTE:</w:t>
      </w:r>
    </w:p>
    <w:p w14:paraId="326830C4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- Lista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priorităţi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stabileşte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ori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câte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ori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este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dacă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anul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respectiv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urmează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finalizeze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repartizeze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noi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tineri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destinate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închirierii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dacă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titularii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înscrişi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lista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aprobată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iniţial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nu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mai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îndeplinesc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acces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dacă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există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tineri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rămase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vacante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62239722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-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înscrişi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lista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priorităţi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respectarea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la pct. 1, 2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3, care nu pot beneficia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repartizarea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limita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fondului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disponibil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anul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respectiv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pot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primi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repartiţii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anii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următori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limita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fondului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disponibil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fiecare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noua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ordine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prioritate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stabilită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0A69DB95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1A1989A5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B.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ierarhizare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stabilite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punctaj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:</w:t>
      </w:r>
    </w:p>
    <w:p w14:paraId="60C2405A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172BAC7E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1.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Situaţia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locativă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actuală</w:t>
      </w:r>
      <w:proofErr w:type="spellEnd"/>
    </w:p>
    <w:p w14:paraId="0185118E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1.1.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Chiriaş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spaţiu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fond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locativ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privat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 10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68FF1567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1.2.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Tolerat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spaţiu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................................... 7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1CE4FFB1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1.3.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Suprafaţa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locuibilă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deţinută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(cu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chirie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tolerat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spaţiu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):</w:t>
      </w:r>
    </w:p>
    <w:p w14:paraId="1831DE21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-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mp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locatar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-</w:t>
      </w:r>
    </w:p>
    <w:p w14:paraId="4C234DA3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a)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mai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mare de 15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mp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până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18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mp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inclusiv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 5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01664228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b)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mai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mare de 12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mp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până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15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mp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inclusiv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 7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4B04A723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c) 8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mp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până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12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mp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inclusiv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 9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0C8CC2CF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lastRenderedPageBreak/>
        <w:t xml:space="preserve">    d)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mai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mică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8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mp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..................................... 10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0F1A3D05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7CA396AB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gramStart"/>
      <w:r w:rsidRPr="00B528B1">
        <w:rPr>
          <w:rFonts w:ascii="Trebuchet MS" w:hAnsi="Trebuchet MS"/>
          <w:i/>
          <w:sz w:val="22"/>
          <w:szCs w:val="22"/>
        </w:rPr>
        <w:t>NOTĂ</w:t>
      </w:r>
      <w:proofErr w:type="gramEnd"/>
      <w:r w:rsidRPr="00B528B1">
        <w:rPr>
          <w:rFonts w:ascii="Trebuchet MS" w:hAnsi="Trebuchet MS"/>
          <w:i/>
          <w:sz w:val="22"/>
          <w:szCs w:val="22"/>
        </w:rPr>
        <w:t>:</w:t>
      </w:r>
    </w:p>
    <w:p w14:paraId="2AD8249E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toleraţi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spaţiu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toată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suprafaţa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locativă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gramStart"/>
      <w:r w:rsidRPr="00B528B1">
        <w:rPr>
          <w:rFonts w:ascii="Trebuchet MS" w:hAnsi="Trebuchet MS"/>
          <w:i/>
          <w:sz w:val="22"/>
          <w:szCs w:val="22"/>
        </w:rPr>
        <w:t>a</w:t>
      </w:r>
      <w:proofErr w:type="gram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imobilului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împarte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numărul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total al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locatarilor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sunt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incluşi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nu fac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parte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familia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solicitantului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dar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locuiesc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acelaşi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imobil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spaţiilor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locative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închiriate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suprafaţa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locativă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deţinută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conform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contractului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închiriere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împarte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numai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numărul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membrilor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familiei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solicitantului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stabilirea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numărului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membri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ai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familiei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solicitantului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avea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vedere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componenţa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familiei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definită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lit. A pct. 2.</w:t>
      </w:r>
    </w:p>
    <w:p w14:paraId="41019D09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75F241BA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2.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civilă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actuală</w:t>
      </w:r>
      <w:proofErr w:type="spellEnd"/>
    </w:p>
    <w:p w14:paraId="69D06624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2.1.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civilă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:</w:t>
      </w:r>
    </w:p>
    <w:p w14:paraId="7AEB70BB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a)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căsătorit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............................................ 10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3550A73A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b)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necăsătorit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........................................... 8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722C281F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2.2.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Număr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persoane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întreţinere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:</w:t>
      </w:r>
    </w:p>
    <w:p w14:paraId="230C151D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a)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copii</w:t>
      </w:r>
      <w:proofErr w:type="spellEnd"/>
    </w:p>
    <w:p w14:paraId="2192CA16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- 1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copil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................................................ 2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175F6B96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- 2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copii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................................................ 3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42AF18CF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- 3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copii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................................................ 4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52578355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- 4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copii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................................................ 5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02562E52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- &gt; 4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copii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 5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+ 1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fiecare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copil</w:t>
      </w:r>
      <w:proofErr w:type="spellEnd"/>
    </w:p>
    <w:p w14:paraId="3F3BBC7B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b)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alte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persoane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indiferent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numărul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acestora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 2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71BA9978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3.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sănătate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actuală</w:t>
      </w:r>
      <w:proofErr w:type="spellEnd"/>
    </w:p>
    <w:p w14:paraId="1E9E78D2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Boala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care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suferă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solicitantul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un alt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membru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al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familiei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ori</w:t>
      </w:r>
      <w:proofErr w:type="spellEnd"/>
    </w:p>
    <w:p w14:paraId="408DDD3E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aflat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întreţinere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necesită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potrivit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legii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însoţitor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o</w:t>
      </w:r>
    </w:p>
    <w:p w14:paraId="1D6D5BE8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cameră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plus ........................................... 2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076B9898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4.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Vechimea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solicitantului</w:t>
      </w:r>
      <w:proofErr w:type="spellEnd"/>
    </w:p>
    <w:p w14:paraId="45C9B35E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4.1.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până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1 an ........................................ 1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</w:t>
      </w:r>
      <w:proofErr w:type="spellEnd"/>
    </w:p>
    <w:p w14:paraId="65F3072C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4.2.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între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1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2 ani .................................... 3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3766FDA6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4.3.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între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2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3 ani .................................... 6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051D9AE8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4.4.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între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3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4 ani .................................... 9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5BCC6256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4.5.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fiecare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peste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4 ani ....................... 4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4AE575F4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5.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Nivelul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studii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pregătire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profesională</w:t>
      </w:r>
      <w:proofErr w:type="spellEnd"/>
    </w:p>
    <w:p w14:paraId="5FEADD04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5.1.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fără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studii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fără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pregătire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profesională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 5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502DD851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5.2.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şcoală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generală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fără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pregătire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profesională</w:t>
      </w:r>
      <w:proofErr w:type="spellEnd"/>
    </w:p>
    <w:p w14:paraId="09D06A8E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specializare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muncă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 8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1B9475DF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5.3.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studii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medii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fără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pregătire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profesională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</w:p>
    <w:p w14:paraId="297AACE7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specializare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muncă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 10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6247D8EE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5.4.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pregătire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profesională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studii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medii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</w:p>
    <w:p w14:paraId="795A1972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profesionale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specialitate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studii</w:t>
      </w:r>
      <w:proofErr w:type="spellEnd"/>
    </w:p>
    <w:p w14:paraId="108F1557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superioare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scurtă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durată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 13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5C3265DF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5.5.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studii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superioare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............................... 15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147B0FDB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501BF0FE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gramStart"/>
      <w:r w:rsidRPr="00B528B1">
        <w:rPr>
          <w:rFonts w:ascii="Trebuchet MS" w:hAnsi="Trebuchet MS"/>
          <w:i/>
          <w:sz w:val="22"/>
          <w:szCs w:val="22"/>
        </w:rPr>
        <w:t>NOTĂ</w:t>
      </w:r>
      <w:proofErr w:type="gramEnd"/>
      <w:r w:rsidRPr="00B528B1">
        <w:rPr>
          <w:rFonts w:ascii="Trebuchet MS" w:hAnsi="Trebuchet MS"/>
          <w:i/>
          <w:sz w:val="22"/>
          <w:szCs w:val="22"/>
        </w:rPr>
        <w:t>:</w:t>
      </w:r>
    </w:p>
    <w:p w14:paraId="5AF90F19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puncta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ultimul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nivel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studii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încheiat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atestat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conform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legii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1FC50F38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65E5A8B7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6.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Situaţii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locative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sociale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deosebite</w:t>
      </w:r>
      <w:proofErr w:type="spellEnd"/>
    </w:p>
    <w:p w14:paraId="3686585C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6.1.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tineri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proveniţi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case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ocrotire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socială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</w:p>
    <w:p w14:paraId="5AF8A021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care au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împlinit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18 </w:t>
      </w:r>
      <w:proofErr w:type="gramStart"/>
      <w:r w:rsidRPr="00B528B1">
        <w:rPr>
          <w:rFonts w:ascii="Trebuchet MS" w:hAnsi="Trebuchet MS"/>
          <w:i/>
          <w:sz w:val="22"/>
          <w:szCs w:val="22"/>
        </w:rPr>
        <w:t>ani</w:t>
      </w:r>
      <w:proofErr w:type="gram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................................. 15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0F24029C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lastRenderedPageBreak/>
        <w:t xml:space="preserve">    6.2.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tineri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au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adoptat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adoptă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copii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 10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7384CE5F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6.3.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tineri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evacuaţi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case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naţionalizate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 5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48EDF917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7.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Venitul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mediu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net lunar/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membru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familie</w:t>
      </w:r>
      <w:proofErr w:type="spellEnd"/>
    </w:p>
    <w:p w14:paraId="6C79B474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7.1.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mai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mic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decât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salariul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minim pe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economie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 15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140CC2D3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7.2.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între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salariul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minim pe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economie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salariul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mediu</w:t>
      </w:r>
      <w:proofErr w:type="spellEnd"/>
    </w:p>
    <w:p w14:paraId="489AD5B8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net pe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economie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......................................... 10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puncte</w:t>
      </w:r>
      <w:proofErr w:type="spellEnd"/>
    </w:p>
    <w:p w14:paraId="7705CF1A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34E721CA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NOTE:</w:t>
      </w:r>
    </w:p>
    <w:p w14:paraId="22081A47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-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ierarhizare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stabilite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punctaj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aplică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numai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solicitanţilor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au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îndeplinit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totalitate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specificate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lit. A.</w:t>
      </w:r>
    </w:p>
    <w:p w14:paraId="2BE4CBBE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-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înregistrării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unor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punctaje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egale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fi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departajaţi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funcţie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situaţia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locativă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constatată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la data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efectivă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repartizării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având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prioritate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numai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căror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situaţie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locativă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este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poate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deveni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mod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iminent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gravă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Dacă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nici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nu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este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suficient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departajarea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poate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face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funcţie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vechimea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solicitantului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luându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-se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considerare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data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efectivă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înregistrării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(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ziua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/luna/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anul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),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având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prioritate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solicitantul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cărui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cerere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vechime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mai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mare.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când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departajarea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nu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poate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efectua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nici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baza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acestor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au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prioritate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solicitanţii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care au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punctajul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cel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mai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mare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acordat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pe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baza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caracter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protecţie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socială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(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civilă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+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starea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sănătate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actuală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).</w:t>
      </w:r>
    </w:p>
    <w:p w14:paraId="03690979" w14:textId="77777777" w:rsidR="00B528B1" w:rsidRPr="00B528B1" w:rsidRDefault="00B528B1" w:rsidP="00B528B1">
      <w:pPr>
        <w:pStyle w:val="Standard"/>
        <w:rPr>
          <w:rFonts w:ascii="Trebuchet MS" w:hAnsi="Trebuchet MS"/>
          <w:i/>
          <w:sz w:val="22"/>
          <w:szCs w:val="22"/>
        </w:rPr>
      </w:pPr>
    </w:p>
    <w:p w14:paraId="6F9D2B70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C.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specifice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***):</w:t>
      </w:r>
    </w:p>
    <w:p w14:paraId="7B9868A3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cazul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destinate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mod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exclusiv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tinerilor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specialişti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învăţământ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sau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sănătate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se pot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propune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adopta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specifice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suplimentarea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celor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prevăzute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criteriile-cadru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conformitate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cu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prevederile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r w:rsidRPr="00B528B1">
        <w:rPr>
          <w:rFonts w:ascii="Trebuchet MS" w:hAnsi="Trebuchet MS"/>
          <w:i/>
          <w:color w:val="008000"/>
          <w:sz w:val="22"/>
          <w:szCs w:val="22"/>
          <w:u w:val="single"/>
        </w:rPr>
        <w:t>art. 14</w:t>
      </w:r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alin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. (8) lit. c) din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Normele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metodologice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20F32649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>------------</w:t>
      </w:r>
    </w:p>
    <w:p w14:paraId="2B1075BE" w14:textId="77777777" w:rsidR="00B528B1" w:rsidRPr="00B528B1" w:rsidRDefault="00B528B1" w:rsidP="00B528B1">
      <w:pPr>
        <w:pStyle w:val="Standard"/>
        <w:rPr>
          <w:rFonts w:ascii="Trebuchet MS" w:hAnsi="Trebuchet MS"/>
          <w:sz w:val="22"/>
          <w:szCs w:val="22"/>
        </w:rPr>
      </w:pPr>
      <w:r w:rsidRPr="00B528B1">
        <w:rPr>
          <w:rFonts w:ascii="Trebuchet MS" w:hAnsi="Trebuchet MS"/>
          <w:i/>
          <w:sz w:val="22"/>
          <w:szCs w:val="22"/>
        </w:rPr>
        <w:t xml:space="preserve">    ***)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Punctul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C. "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Criterii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specifice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" nu se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va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propune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şi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adopta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locuinţele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pentru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tineri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 xml:space="preserve"> destinate </w:t>
      </w:r>
      <w:proofErr w:type="spellStart"/>
      <w:r w:rsidRPr="00B528B1">
        <w:rPr>
          <w:rFonts w:ascii="Trebuchet MS" w:hAnsi="Trebuchet MS"/>
          <w:i/>
          <w:sz w:val="22"/>
          <w:szCs w:val="22"/>
        </w:rPr>
        <w:t>închirierii</w:t>
      </w:r>
      <w:proofErr w:type="spellEnd"/>
      <w:r w:rsidRPr="00B528B1">
        <w:rPr>
          <w:rFonts w:ascii="Trebuchet MS" w:hAnsi="Trebuchet MS"/>
          <w:i/>
          <w:sz w:val="22"/>
          <w:szCs w:val="22"/>
        </w:rPr>
        <w:t>.</w:t>
      </w:r>
    </w:p>
    <w:p w14:paraId="46F34500" w14:textId="77777777" w:rsidR="007E0436" w:rsidRPr="00B528B1" w:rsidRDefault="007E0436" w:rsidP="00B528B1">
      <w:pPr>
        <w:spacing w:line="240" w:lineRule="auto"/>
        <w:rPr>
          <w:rFonts w:ascii="Trebuchet MS" w:hAnsi="Trebuchet MS"/>
          <w:sz w:val="22"/>
          <w:szCs w:val="22"/>
        </w:rPr>
      </w:pPr>
    </w:p>
    <w:sectPr w:rsidR="007E0436" w:rsidRPr="00B5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B1"/>
    <w:rsid w:val="004C6E56"/>
    <w:rsid w:val="007E0436"/>
    <w:rsid w:val="009E0680"/>
    <w:rsid w:val="00B438BA"/>
    <w:rsid w:val="00B5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E217"/>
  <w15:chartTrackingRefBased/>
  <w15:docId w15:val="{784E9EB3-14C1-4D37-9DEE-B468B144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8B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528B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1713</Words>
  <Characters>9769</Characters>
  <Application>Microsoft Office Word</Application>
  <DocSecurity>0</DocSecurity>
  <Lines>81</Lines>
  <Paragraphs>22</Paragraphs>
  <ScaleCrop>false</ScaleCrop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m35268</dc:creator>
  <cp:keywords/>
  <dc:description/>
  <cp:lastModifiedBy>m35268</cp:lastModifiedBy>
  <cp:revision>1</cp:revision>
  <dcterms:created xsi:type="dcterms:W3CDTF">2025-03-19T07:09:00Z</dcterms:created>
  <dcterms:modified xsi:type="dcterms:W3CDTF">2025-03-19T07:11:00Z</dcterms:modified>
</cp:coreProperties>
</file>